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AF3599" w:rsidRDefault="00E51F51" w:rsidP="00E51F51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51F51">
              <w:rPr>
                <w:rFonts w:ascii="Times New Roman" w:hAnsi="Times New Roman" w:cs="Times New Roman"/>
                <w:sz w:val="20"/>
                <w:szCs w:val="20"/>
              </w:rPr>
              <w:t>0919.7ZP1.B/C27.POZ</w:t>
            </w: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0A53D0" w:rsidRDefault="00E51F51" w:rsidP="00AF359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Planowanie w opiece zdrowotnej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E51F51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Planning in health care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DA25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DA25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7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56CA1" w:rsidP="00062D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0" w:name="_GoBack"/>
            <w:r w:rsidRPr="00A56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Marta Kortyzon</w:t>
            </w:r>
            <w:bookmarkEnd w:id="0"/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56C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marta.kortyzon@ujk.edu.pl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AF3599" w:rsidRDefault="003A5547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Podstawowa wiedza z zakresu organizacji i funkcjonowania systemu ochrony zdrowia w Polsce</w:t>
            </w:r>
            <w:r w:rsidR="003129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3A55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ćwiczenia 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BC76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/ZO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AF3599" w:rsidRDefault="003A5547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9F361C">
              <w:rPr>
                <w:color w:val="000000" w:themeColor="text1"/>
                <w:sz w:val="20"/>
                <w:szCs w:val="20"/>
              </w:rPr>
              <w:t xml:space="preserve">Wykład aktywizujący, dyskusja, praca w grupach </w:t>
            </w:r>
          </w:p>
        </w:tc>
      </w:tr>
      <w:tr w:rsidR="00420A29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81EC8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420A2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C0" w:rsidRDefault="003A5547" w:rsidP="00FB60A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Swayne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B60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L.E, Duncan W. J, </w:t>
            </w:r>
            <w:proofErr w:type="spellStart"/>
            <w:r w:rsidR="00FB60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Ginter</w:t>
            </w:r>
            <w:proofErr w:type="spellEnd"/>
            <w:r w:rsidR="00FB60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P.M. Zarządzanie strategiczne w ochronie zdrowia. Wydawnictwo Wolters Kluwer. Warszawa 2012. </w:t>
            </w:r>
          </w:p>
          <w:p w:rsidR="00FB60A5" w:rsidRDefault="00FB60A5" w:rsidP="003114CA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Galicki J, Głowacka M.D,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Mojs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E.  Zarządzanie podmiotem leczniczym. Wydawnictwo Wolters Kluwer. Warszawa 2013. </w:t>
            </w:r>
          </w:p>
          <w:p w:rsidR="003114CA" w:rsidRPr="003114CA" w:rsidRDefault="003114CA" w:rsidP="003114CA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Kautsch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 (red.). Zarządzanie w opiece zdrowotnej. Nowe wyzwania. Wydawnictwo Wolters Kluwer. Warszawa 2015. </w:t>
            </w:r>
          </w:p>
        </w:tc>
      </w:tr>
      <w:tr w:rsidR="00420A29" w:rsidRPr="000A53D0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Default="00FB60A5" w:rsidP="009F361C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Dobska M,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Dobski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P. Zarządzanie jakością w podmiotach leczniczych. Wydawnictwo Wolters Kluwer. Warszawa</w:t>
            </w:r>
            <w:r w:rsidR="003114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2012. </w:t>
            </w:r>
          </w:p>
          <w:p w:rsidR="003114CA" w:rsidRDefault="003114CA" w:rsidP="009F361C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Krot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 Jakość i marketing usług medycznych. Wydawnictwo Wolters Kluwer. Warszawa 2008. </w:t>
            </w:r>
          </w:p>
          <w:p w:rsidR="003114CA" w:rsidRPr="00FB60A5" w:rsidRDefault="003114CA" w:rsidP="009F361C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Głowacka M. D,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Majos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E. Profesjonalne zarządzanie kadrami w podmiotach leczniczych. Wydawnictwo Wolters Kluwer. Warszawa 2015.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AF3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3114CA" w:rsidRPr="0097296F" w:rsidRDefault="003114CA" w:rsidP="009F361C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C1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(wiedza) - Zapoznanie studentów z  problematyką zarządzania sferą materialną i niematerialną w ochronie zdrowia.</w:t>
            </w:r>
          </w:p>
          <w:p w:rsidR="003114CA" w:rsidRPr="0097296F" w:rsidRDefault="003114CA" w:rsidP="009F361C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C2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(umiejętności)</w:t>
            </w:r>
            <w:r w:rsid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- Kształtowanie umiejętności 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analizowania i interpretowania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zagadnień z zakresu rodzajów planowania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 zarządzania w ochronie zdrowia. 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</w:p>
          <w:p w:rsidR="0066006C" w:rsidRPr="003114CA" w:rsidRDefault="003114CA" w:rsidP="009F361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296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C3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(kompetencje społeczne)</w:t>
            </w:r>
            <w:r w:rsid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116AA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–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Kształtowanie</w:t>
            </w:r>
            <w:r w:rsidR="00116AA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właściwych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postaw wobec 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sytuacj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</w:t>
            </w:r>
            <w:r w:rsidR="0097296F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zdrowotnej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 potrzeb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zdrowotn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ych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społeczeństwa polskiego jako istotnego elementu w procesie planowania</w:t>
            </w:r>
            <w:r w:rsidR="0097296F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97296F" w:rsidRPr="0097296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i zarządzania </w:t>
            </w:r>
            <w:r w:rsidR="003129D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opieką zdrowotną.</w:t>
            </w:r>
          </w:p>
        </w:tc>
      </w:tr>
      <w:tr w:rsidR="0066006C" w:rsidRPr="000A53D0" w:rsidTr="003129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41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97296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97296F" w:rsidRPr="000A53D0" w:rsidRDefault="0097296F" w:rsidP="0097296F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:rsidR="0097296F" w:rsidRPr="0097296F" w:rsidRDefault="00816F7E" w:rsidP="0097296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sz w:val="20"/>
                <w:szCs w:val="20"/>
              </w:rPr>
              <w:t>Podstawowe definicje z zakresu planowania w opiece zdrowotnej.</w:t>
            </w:r>
          </w:p>
          <w:p w:rsidR="0097296F" w:rsidRPr="0097296F" w:rsidRDefault="00816F7E" w:rsidP="0097296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sz w:val="20"/>
                <w:szCs w:val="20"/>
              </w:rPr>
              <w:t xml:space="preserve"> Charakterystyka procesu planowania. </w:t>
            </w:r>
          </w:p>
          <w:p w:rsidR="0097296F" w:rsidRPr="0097296F" w:rsidRDefault="00816F7E" w:rsidP="0097296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sz w:val="20"/>
                <w:szCs w:val="20"/>
              </w:rPr>
              <w:t xml:space="preserve">Specyfika planowania w lecznictwie stacjonarnym i ambulatoryjnym. </w:t>
            </w:r>
          </w:p>
          <w:p w:rsidR="0097296F" w:rsidRPr="0097296F" w:rsidRDefault="00816F7E" w:rsidP="0097296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sz w:val="20"/>
                <w:szCs w:val="20"/>
              </w:rPr>
              <w:t xml:space="preserve">Proces planowania personelu. </w:t>
            </w:r>
          </w:p>
          <w:p w:rsidR="00816F7E" w:rsidRPr="0097296F" w:rsidRDefault="00816F7E" w:rsidP="0097296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sz w:val="20"/>
                <w:szCs w:val="20"/>
              </w:rPr>
              <w:t>Planowanie i zarządzanie infrastrukturą, zasobami ludzkimi, jakością.</w:t>
            </w:r>
          </w:p>
          <w:p w:rsidR="0066006C" w:rsidRPr="0097296F" w:rsidRDefault="0097296F" w:rsidP="0097296F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</w:p>
          <w:p w:rsidR="00C94720" w:rsidRPr="00C94720" w:rsidRDefault="00A62BB3" w:rsidP="0097296F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A62BB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Analiza sytuacji zdrowotnej i potrzeb zdrowotnych społeczeństwa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 kontekście planowania opieki zdrowotnej.</w:t>
            </w:r>
          </w:p>
          <w:p w:rsidR="0097296F" w:rsidRPr="00A62BB3" w:rsidRDefault="00C94720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Wybrane wyzwania systemu ochrony zdrowia na tle planowania i zarządzania opieką zdrowotną w Polsce. </w:t>
            </w:r>
          </w:p>
          <w:p w:rsidR="00A62BB3" w:rsidRPr="00A62BB3" w:rsidRDefault="00A62BB3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Rola jakości w procesie planowania i zarządzania opieka zdrowotną – koncepcje, kryteria, metody pomiaru. </w:t>
            </w:r>
          </w:p>
          <w:p w:rsidR="00C94720" w:rsidRPr="00C94720" w:rsidRDefault="00A62BB3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C9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Procesy certyfikowania jakoś</w:t>
            </w:r>
            <w:r w:rsidR="00C94720" w:rsidRPr="00C9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ci</w:t>
            </w:r>
            <w:r w:rsidR="00C9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</w:p>
          <w:p w:rsidR="00A62BB3" w:rsidRPr="00C94720" w:rsidRDefault="00C94720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</w:t>
            </w:r>
            <w:r w:rsidR="00A62BB3" w:rsidRPr="00C9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arządzanie kompetencjami pracowników podmiotu leczniczego – ścieżka rozwoju pracowników versus analiza błędów w zarządzaniu zasobami ludzkimi. </w:t>
            </w:r>
          </w:p>
          <w:p w:rsidR="00A62BB3" w:rsidRPr="00A62BB3" w:rsidRDefault="00A62BB3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Charakterystyka i sposób opracowania biznesplanu – analiza przypadku. </w:t>
            </w:r>
          </w:p>
          <w:p w:rsidR="00A62BB3" w:rsidRPr="00A62BB3" w:rsidRDefault="00A62BB3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Wpływ marketingu relacyjnego na efektywność planowania i zarządzania zakładów opieki zdrowotnej. </w:t>
            </w:r>
          </w:p>
          <w:p w:rsidR="00A62BB3" w:rsidRPr="00A62BB3" w:rsidRDefault="00A62BB3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Zarządzanie nieruchomością i infrastrukturą techniczną podmiotów ochrony zdrowia. </w:t>
            </w:r>
          </w:p>
          <w:p w:rsidR="003129D0" w:rsidRPr="00871979" w:rsidRDefault="00A62BB3" w:rsidP="00871979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Zarządzanie ur</w:t>
            </w:r>
            <w:r w:rsidR="003129D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ądzeniami i aparatura medyczną. </w:t>
            </w:r>
          </w:p>
        </w:tc>
      </w:tr>
    </w:tbl>
    <w:p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4A78F4" w:rsidRPr="000A53D0" w:rsidRDefault="004A78F4" w:rsidP="00C94720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44"/>
        <w:gridCol w:w="14"/>
        <w:gridCol w:w="1629"/>
      </w:tblGrid>
      <w:tr w:rsidR="004A78F4" w:rsidRPr="000A53D0" w:rsidTr="00116AA3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8F4" w:rsidRPr="000A53D0" w:rsidRDefault="004A78F4" w:rsidP="0011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4A78F4" w:rsidRPr="000A53D0" w:rsidTr="00116AA3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4A78F4" w:rsidRPr="000A53D0" w:rsidTr="00116A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673F4C" w:rsidRDefault="00116AA3" w:rsidP="00673F4C">
            <w:pPr>
              <w:widowControl w:val="0"/>
              <w:spacing w:before="1" w:line="288" w:lineRule="auto"/>
              <w:ind w:right="614"/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Posiada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wied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z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ę </w:t>
            </w:r>
            <w:r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na temat głównych uwarunkowań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zdrowi</w:t>
            </w:r>
            <w:r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</w:rPr>
              <w:t>t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>y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ż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y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c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i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populacji 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rozumie ich wpływ na kształt funkcjonowania i planowania opieki zdrowotnej.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8C0541" w:rsidRDefault="004A78F4" w:rsidP="00116AA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4A78F4" w:rsidRPr="000A53D0" w:rsidTr="00116A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673F4C" w:rsidRDefault="00116AA3" w:rsidP="00673F4C">
            <w:pPr>
              <w:widowControl w:val="0"/>
              <w:spacing w:before="3" w:line="288" w:lineRule="auto"/>
              <w:ind w:right="73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Zna uwarunkowania organizacyjne oraz podstawy prawne regulujące organizacje i funkcjonowania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pol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s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g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s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y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stemu op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i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eki 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z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drowotnej.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8C0541" w:rsidRDefault="004A78F4" w:rsidP="00116AA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4A78F4" w:rsidRPr="000A53D0" w:rsidTr="00116A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673F4C" w:rsidRDefault="00116AA3" w:rsidP="00673F4C">
            <w:pPr>
              <w:widowControl w:val="0"/>
              <w:spacing w:before="1" w:line="288" w:lineRule="auto"/>
              <w:ind w:right="4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p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o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ds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w w:val="101"/>
                <w:sz w:val="20"/>
                <w:szCs w:val="20"/>
              </w:rPr>
              <w:t>t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wow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e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n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1"/>
                <w:w w:val="101"/>
                <w:sz w:val="20"/>
                <w:szCs w:val="20"/>
              </w:rPr>
              <w:t>r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y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2"/>
                <w:w w:val="101"/>
                <w:sz w:val="20"/>
                <w:szCs w:val="20"/>
              </w:rPr>
              <w:t>r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eg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1"/>
                <w:w w:val="101"/>
                <w:sz w:val="20"/>
                <w:szCs w:val="20"/>
              </w:rPr>
              <w:t>ły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r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</w:t>
            </w:r>
            <w:r w:rsidR="00BD3626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o-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rg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aniza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cy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jn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e</w:t>
            </w:r>
            <w:r w:rsidRPr="00673F4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, warunkujące kształt i zakres planowania i zarządzania opieki zdrowotnej oraz podmiotów leczniczych.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8C0541" w:rsidRDefault="004A78F4" w:rsidP="00116AA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A78F4" w:rsidRPr="000A53D0" w:rsidTr="00BD3626">
        <w:trPr>
          <w:trHeight w:val="32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673F4C" w:rsidRDefault="00116AA3" w:rsidP="00673F4C">
            <w:pPr>
              <w:widowControl w:val="0"/>
              <w:spacing w:before="1" w:line="288" w:lineRule="auto"/>
              <w:ind w:right="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P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osiada wiedzę z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z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re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 </w:t>
            </w:r>
            <w:r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planowania, r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z</w:t>
            </w:r>
            <w:r w:rsidR="00BD36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woju</w:t>
            </w:r>
            <w:r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zarządzania </w:t>
            </w:r>
            <w:r w:rsidR="00993303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różnych 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</w:t>
            </w:r>
            <w:r w:rsidR="00184415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 </w:t>
            </w:r>
            <w:r w:rsid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prawnych podmiotów opieki zdrowotnej. </w:t>
            </w:r>
            <w:r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8C0541" w:rsidRDefault="004A78F4" w:rsidP="00116AA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A78F4" w:rsidRPr="000A53D0" w:rsidTr="00116AA3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A78F4" w:rsidRPr="000A53D0" w:rsidTr="00116A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481EC8" w:rsidRDefault="009F361C" w:rsidP="00481EC8">
            <w:pPr>
              <w:widowControl w:val="0"/>
              <w:spacing w:before="6" w:line="278" w:lineRule="auto"/>
              <w:ind w:right="468"/>
              <w:jc w:val="both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</w:pPr>
            <w:r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Umie wykorzystywać dane z zakresu sytuacji zdrowotnej społeczeństwa w celu przygotowywaniu planu </w:t>
            </w:r>
            <w:r w:rsidR="00AC6035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racjonalnego </w:t>
            </w:r>
            <w:r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zarządzania opieką zdrowotną.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D92DF8" w:rsidRDefault="004A78F4" w:rsidP="00116AA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P1A_U02</w:t>
            </w:r>
          </w:p>
        </w:tc>
      </w:tr>
      <w:tr w:rsidR="004A78F4" w:rsidRPr="000A53D0" w:rsidTr="00116A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481EC8" w:rsidRDefault="009F361C" w:rsidP="00481EC8">
            <w:pPr>
              <w:widowControl w:val="0"/>
              <w:spacing w:before="6" w:line="275" w:lineRule="auto"/>
              <w:ind w:right="3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Wykorzystuje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w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nik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analiz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dotyczących potrzeb zdrowotnych populacji 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propon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uje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konkr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</w:rPr>
              <w:t>n</w:t>
            </w:r>
            <w:r w:rsidRPr="00481EC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rozwiązani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 jakościowe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s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ektor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z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 och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n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z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drowia.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D92DF8" w:rsidRDefault="004A78F4" w:rsidP="00116AA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P1A_U09</w:t>
            </w:r>
          </w:p>
        </w:tc>
      </w:tr>
      <w:tr w:rsidR="004A78F4" w:rsidRPr="000A53D0" w:rsidTr="00116A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481EC8" w:rsidRDefault="009F361C" w:rsidP="00481EC8">
            <w:pPr>
              <w:widowControl w:val="0"/>
              <w:spacing w:before="3" w:line="288" w:lineRule="auto"/>
              <w:ind w:right="16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Potrafi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przeprow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</w:t>
            </w:r>
            <w:r w:rsidR="00AC6035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ić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anali</w:t>
            </w:r>
            <w:r w:rsidR="00AC6035" w:rsidRPr="00481EC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zę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</w:rPr>
              <w:t>w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ra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n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c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 uw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runko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w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ań p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oblem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ó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zdrowot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n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 i społ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z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</w:rPr>
              <w:t>n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c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</w:t>
            </w:r>
            <w:r w:rsidR="00AC6035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wskazać związane z nią wyzwania w zarządzaniu systemem ochrony zdrowia w Polsce.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481EC8" w:rsidRDefault="004A78F4" w:rsidP="00481EC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481EC8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Z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P1A_U12</w:t>
            </w:r>
          </w:p>
        </w:tc>
      </w:tr>
      <w:tr w:rsidR="004A78F4" w:rsidRPr="000A53D0" w:rsidTr="00116A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481EC8" w:rsidRDefault="00AC6035" w:rsidP="00481EC8">
            <w:pPr>
              <w:widowControl w:val="0"/>
              <w:spacing w:before="1" w:line="288" w:lineRule="auto"/>
              <w:ind w:right="7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Umie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wyszuk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ać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z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będ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n</w:t>
            </w:r>
            <w:r w:rsidR="00BD3626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inform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a</w:t>
            </w:r>
            <w:r w:rsidR="00BD36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cje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pi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ś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i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ennictwie, bazach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d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n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c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 i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</w:rPr>
              <w:t>n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 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źródłach wiedzy,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dotyczących najważniejszych elementów procesów planowania i zarządzania opieką zdrowotną </w:t>
            </w:r>
            <w:r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z zachowaniem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przepi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s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ów do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t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c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zą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c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c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p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raw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a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utorski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c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 i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och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n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w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</w:rPr>
              <w:t>z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t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wa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n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c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 baz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n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 w oparciu o systematycznie uzupełnianą wiedzę.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481EC8" w:rsidRDefault="004A78F4" w:rsidP="00481EC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481EC8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Z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P1A_U14</w:t>
            </w:r>
          </w:p>
        </w:tc>
      </w:tr>
      <w:tr w:rsidR="004A78F4" w:rsidRPr="000A53D0" w:rsidTr="00116A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481EC8" w:rsidRDefault="00AC6035" w:rsidP="00481EC8">
            <w:pPr>
              <w:widowControl w:val="0"/>
              <w:spacing w:before="1" w:line="288" w:lineRule="auto"/>
              <w:ind w:right="30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Potrafi i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ter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2"/>
                <w:w w:val="101"/>
                <w:sz w:val="20"/>
                <w:szCs w:val="20"/>
              </w:rPr>
              <w:t>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t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ć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p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i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reg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u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lują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2"/>
                <w:w w:val="101"/>
                <w:sz w:val="20"/>
                <w:szCs w:val="20"/>
              </w:rPr>
              <w:t>c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z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ł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alnoś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ć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stacjonarnych i ambulatoryjnych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a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kł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adów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ek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zd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w w:val="101"/>
                <w:sz w:val="20"/>
                <w:szCs w:val="20"/>
              </w:rPr>
              <w:t>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w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t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481EC8" w:rsidRDefault="004A78F4" w:rsidP="00481EC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481EC8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Z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P1A_U16</w:t>
            </w:r>
          </w:p>
        </w:tc>
      </w:tr>
      <w:tr w:rsidR="004A78F4" w:rsidRPr="000A53D0" w:rsidTr="00116AA3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A78F4" w:rsidRPr="00D371A5" w:rsidTr="00116A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4A78F4" w:rsidRDefault="00AC6035" w:rsidP="004A78F4">
            <w:pPr>
              <w:widowControl w:val="0"/>
              <w:spacing w:before="1"/>
              <w:ind w:right="12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68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Samodzielnie uzupełnia wiedzę oraz 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kształtuje </w:t>
            </w:r>
            <w:r w:rsidRPr="0090168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umiejętności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praktyczne w zawodzie.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D371A5" w:rsidRDefault="004A78F4" w:rsidP="00116AA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</w:tr>
      <w:tr w:rsidR="004A78F4" w:rsidRPr="00D371A5" w:rsidTr="00116A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716597" w:rsidRDefault="00BD3626" w:rsidP="00116AA3">
            <w:pPr>
              <w:widowControl w:val="0"/>
              <w:spacing w:before="1"/>
              <w:ind w:right="21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Wykazuje</w:t>
            </w:r>
            <w:r w:rsidR="00AC6035" w:rsidRPr="0090168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aktywność w zakresie projektowania i realizacji zadań zawodowych</w:t>
            </w:r>
            <w:r w:rsidR="00AC6035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D371A5" w:rsidRDefault="004A78F4" w:rsidP="00116AA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</w:tr>
    </w:tbl>
    <w:p w:rsidR="004A78F4" w:rsidRPr="000A53D0" w:rsidRDefault="004A78F4" w:rsidP="004A78F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A78F4" w:rsidRPr="000A53D0" w:rsidTr="00116AA3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0A53D0" w:rsidRDefault="004A78F4" w:rsidP="00116AA3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4A78F4" w:rsidRPr="000A53D0" w:rsidTr="00116AA3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4A78F4" w:rsidRPr="000A53D0" w:rsidTr="00116AA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F4" w:rsidRPr="000A53D0" w:rsidRDefault="004A78F4" w:rsidP="00116A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716597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9F361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obecność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4A78F4" w:rsidRPr="000A53D0" w:rsidTr="00116AA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F4" w:rsidRPr="000A53D0" w:rsidRDefault="004A78F4" w:rsidP="00116A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4A78F4" w:rsidRPr="000A53D0" w:rsidTr="00116AA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4" w:rsidRPr="000A53D0" w:rsidRDefault="004A78F4" w:rsidP="00116AA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4A78F4" w:rsidRPr="000A53D0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78F4" w:rsidRPr="000A53D0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78F4" w:rsidRPr="000A53D0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78F4" w:rsidRPr="000A53D0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78F4" w:rsidRPr="000A53D0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9F361C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AF3599" w:rsidRDefault="004A78F4" w:rsidP="009F361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AF3599" w:rsidRDefault="004A78F4" w:rsidP="009F361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9F361C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9F361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78F4" w:rsidRPr="000A53D0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9F361C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9F361C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78F4" w:rsidRPr="000A53D0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9F361C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9F361C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78F4" w:rsidRPr="000A53D0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9F361C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9F361C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78F4" w:rsidRPr="000A53D0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9F361C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9F361C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78F4" w:rsidRPr="000A53D0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78F4" w:rsidRPr="000A53D0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4A78F4" w:rsidRDefault="004A78F4" w:rsidP="004A78F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:rsidR="009F361C" w:rsidRDefault="009F361C" w:rsidP="001511D9">
      <w:pPr>
        <w:rPr>
          <w:rFonts w:ascii="Times New Roman" w:hAnsi="Times New Roman" w:cs="Times New Roman"/>
          <w:color w:val="FF0000"/>
        </w:rPr>
      </w:pPr>
    </w:p>
    <w:p w:rsidR="009F361C" w:rsidRDefault="009F361C" w:rsidP="001511D9">
      <w:pPr>
        <w:rPr>
          <w:rFonts w:ascii="Times New Roman" w:hAnsi="Times New Roman" w:cs="Times New Roman"/>
          <w:color w:val="FF0000"/>
        </w:rPr>
      </w:pPr>
    </w:p>
    <w:p w:rsidR="00A40BE3" w:rsidRPr="00AF3599" w:rsidRDefault="00AF3599" w:rsidP="001511D9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C9472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C9472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C9472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:rsidTr="00C9472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7C14F9" w:rsidRDefault="007C14F9" w:rsidP="007C14F9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>Zaliczenie kolokwium na poziomie od 61% do 68% . Prawidłowe wykonanie i zaprezentowanie zleconej pracy w grupach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weryfikującej zakładane efekty uczenia się. </w:t>
            </w:r>
          </w:p>
        </w:tc>
      </w:tr>
      <w:tr w:rsidR="00BB04D4" w:rsidRPr="000A53D0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7C14F9" w:rsidRDefault="007C14F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 xml:space="preserve">Zaliczenie kolokwium na poziomie od </w:t>
            </w:r>
            <w:r w:rsidR="00AF3599" w:rsidRPr="007C1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>Prawidłowe wykonanie i zaprezentowanie zleconej pracy w grupach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weryfikującej zakładane efekty uczenia się.</w:t>
            </w:r>
          </w:p>
        </w:tc>
      </w:tr>
      <w:tr w:rsidR="00BB04D4" w:rsidRPr="000A53D0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7C14F9" w:rsidRDefault="007C14F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 xml:space="preserve">Zaliczenie kolokwium na poziomie od </w:t>
            </w:r>
            <w:r w:rsidR="00AF3599" w:rsidRPr="007C1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>Prawidłowe wykonanie i zaprezentowanie zleconej pracy w grupach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weryfikującej zakładane efekty uczenia się.</w:t>
            </w:r>
          </w:p>
        </w:tc>
      </w:tr>
      <w:tr w:rsidR="00BB04D4" w:rsidRPr="000A53D0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7C14F9" w:rsidRDefault="007C14F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 xml:space="preserve">Zaliczenie kolokwium na poziomie od </w:t>
            </w:r>
            <w:r w:rsidR="00AF3599" w:rsidRPr="007C1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>Prawidłowe wykonanie i zaprezentowanie zleconej pracy w grupac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 weryfikującej zakładane efekty uczenia się.</w:t>
            </w:r>
          </w:p>
        </w:tc>
      </w:tr>
      <w:tr w:rsidR="00BB04D4" w:rsidRPr="000A53D0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7C14F9" w:rsidRDefault="007C14F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 xml:space="preserve">Zaliczenie kolokwium na poziomie od </w:t>
            </w:r>
            <w:r w:rsidR="00AF3599" w:rsidRPr="007C1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93-100%. </w:t>
            </w: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>Prawidłowe wykonanie i zaprezentowanie zleconej pracy w grupach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weryfikującej zakładane efekty uczenia się.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BD235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BD235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BD235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BD235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BD235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9F36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9F36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9F36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9F36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BD235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BD3626" w:rsidRDefault="004104E6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D362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BD3626" w:rsidRDefault="001511D9" w:rsidP="00BD2359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31" w:rsidRDefault="00381B31">
      <w:r>
        <w:separator/>
      </w:r>
    </w:p>
  </w:endnote>
  <w:endnote w:type="continuationSeparator" w:id="0">
    <w:p w:rsidR="00381B31" w:rsidRDefault="0038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31" w:rsidRDefault="00381B31"/>
  </w:footnote>
  <w:footnote w:type="continuationSeparator" w:id="0">
    <w:p w:rsidR="00381B31" w:rsidRDefault="00381B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6371A03"/>
    <w:multiLevelType w:val="hybridMultilevel"/>
    <w:tmpl w:val="F8AECF86"/>
    <w:lvl w:ilvl="0" w:tplc="D61C73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B25209"/>
    <w:multiLevelType w:val="hybridMultilevel"/>
    <w:tmpl w:val="1A2453B0"/>
    <w:lvl w:ilvl="0" w:tplc="00A29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1A2B1623"/>
    <w:multiLevelType w:val="hybridMultilevel"/>
    <w:tmpl w:val="5EDEC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8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3C4FBC"/>
    <w:multiLevelType w:val="hybridMultilevel"/>
    <w:tmpl w:val="E92E1EE4"/>
    <w:lvl w:ilvl="0" w:tplc="6346EC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38"/>
  </w:num>
  <w:num w:numId="5">
    <w:abstractNumId w:val="26"/>
  </w:num>
  <w:num w:numId="6">
    <w:abstractNumId w:val="13"/>
  </w:num>
  <w:num w:numId="7">
    <w:abstractNumId w:val="35"/>
  </w:num>
  <w:num w:numId="8">
    <w:abstractNumId w:val="20"/>
  </w:num>
  <w:num w:numId="9">
    <w:abstractNumId w:val="30"/>
  </w:num>
  <w:num w:numId="10">
    <w:abstractNumId w:val="22"/>
  </w:num>
  <w:num w:numId="11">
    <w:abstractNumId w:val="17"/>
  </w:num>
  <w:num w:numId="12">
    <w:abstractNumId w:val="14"/>
  </w:num>
  <w:num w:numId="13">
    <w:abstractNumId w:val="2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3"/>
  </w:num>
  <w:num w:numId="26">
    <w:abstractNumId w:val="11"/>
  </w:num>
  <w:num w:numId="27">
    <w:abstractNumId w:val="37"/>
  </w:num>
  <w:num w:numId="28">
    <w:abstractNumId w:val="45"/>
  </w:num>
  <w:num w:numId="29">
    <w:abstractNumId w:val="10"/>
  </w:num>
  <w:num w:numId="30">
    <w:abstractNumId w:val="42"/>
  </w:num>
  <w:num w:numId="31">
    <w:abstractNumId w:val="18"/>
  </w:num>
  <w:num w:numId="32">
    <w:abstractNumId w:val="44"/>
  </w:num>
  <w:num w:numId="33">
    <w:abstractNumId w:val="19"/>
  </w:num>
  <w:num w:numId="34">
    <w:abstractNumId w:val="27"/>
  </w:num>
  <w:num w:numId="35">
    <w:abstractNumId w:val="41"/>
  </w:num>
  <w:num w:numId="36">
    <w:abstractNumId w:val="36"/>
  </w:num>
  <w:num w:numId="37">
    <w:abstractNumId w:val="40"/>
  </w:num>
  <w:num w:numId="38">
    <w:abstractNumId w:val="32"/>
  </w:num>
  <w:num w:numId="39">
    <w:abstractNumId w:val="29"/>
  </w:num>
  <w:num w:numId="40">
    <w:abstractNumId w:val="33"/>
  </w:num>
  <w:num w:numId="41">
    <w:abstractNumId w:val="21"/>
  </w:num>
  <w:num w:numId="42">
    <w:abstractNumId w:val="24"/>
  </w:num>
  <w:num w:numId="43">
    <w:abstractNumId w:val="25"/>
  </w:num>
  <w:num w:numId="44">
    <w:abstractNumId w:val="39"/>
  </w:num>
  <w:num w:numId="45">
    <w:abstractNumId w:val="16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069A0"/>
    <w:rsid w:val="00116AA3"/>
    <w:rsid w:val="001425A3"/>
    <w:rsid w:val="001511D9"/>
    <w:rsid w:val="00152D19"/>
    <w:rsid w:val="00163028"/>
    <w:rsid w:val="00177ABC"/>
    <w:rsid w:val="00184415"/>
    <w:rsid w:val="001916F6"/>
    <w:rsid w:val="00195C93"/>
    <w:rsid w:val="001A1892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D1F"/>
    <w:rsid w:val="00214880"/>
    <w:rsid w:val="002263E9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0BBA"/>
    <w:rsid w:val="002F5F1C"/>
    <w:rsid w:val="00301365"/>
    <w:rsid w:val="00303338"/>
    <w:rsid w:val="00304D7D"/>
    <w:rsid w:val="003114CA"/>
    <w:rsid w:val="003129D0"/>
    <w:rsid w:val="003207B9"/>
    <w:rsid w:val="00325305"/>
    <w:rsid w:val="00355C21"/>
    <w:rsid w:val="00370D1D"/>
    <w:rsid w:val="00371369"/>
    <w:rsid w:val="00381B31"/>
    <w:rsid w:val="003A5547"/>
    <w:rsid w:val="003B0B4A"/>
    <w:rsid w:val="003C28BC"/>
    <w:rsid w:val="003C59AC"/>
    <w:rsid w:val="003E774E"/>
    <w:rsid w:val="004104E6"/>
    <w:rsid w:val="00413AA8"/>
    <w:rsid w:val="0041771F"/>
    <w:rsid w:val="00420A29"/>
    <w:rsid w:val="00441075"/>
    <w:rsid w:val="0046386D"/>
    <w:rsid w:val="00481EC8"/>
    <w:rsid w:val="004A78F4"/>
    <w:rsid w:val="004B2049"/>
    <w:rsid w:val="004D2129"/>
    <w:rsid w:val="004D388F"/>
    <w:rsid w:val="004F326E"/>
    <w:rsid w:val="004F4882"/>
    <w:rsid w:val="0050503E"/>
    <w:rsid w:val="00515B0F"/>
    <w:rsid w:val="00525A5E"/>
    <w:rsid w:val="00543C0E"/>
    <w:rsid w:val="005625C2"/>
    <w:rsid w:val="005B4506"/>
    <w:rsid w:val="005B5676"/>
    <w:rsid w:val="005C5513"/>
    <w:rsid w:val="005D0415"/>
    <w:rsid w:val="005D5D80"/>
    <w:rsid w:val="005E69E4"/>
    <w:rsid w:val="006042CB"/>
    <w:rsid w:val="006044F1"/>
    <w:rsid w:val="006117C2"/>
    <w:rsid w:val="006223E8"/>
    <w:rsid w:val="00623294"/>
    <w:rsid w:val="00650D3C"/>
    <w:rsid w:val="00653368"/>
    <w:rsid w:val="0066006C"/>
    <w:rsid w:val="0066524E"/>
    <w:rsid w:val="00673F4C"/>
    <w:rsid w:val="00683581"/>
    <w:rsid w:val="006A4183"/>
    <w:rsid w:val="006B0A9A"/>
    <w:rsid w:val="006B0E04"/>
    <w:rsid w:val="006C7170"/>
    <w:rsid w:val="006C7E19"/>
    <w:rsid w:val="006E15D8"/>
    <w:rsid w:val="007034A2"/>
    <w:rsid w:val="00711C11"/>
    <w:rsid w:val="00727C53"/>
    <w:rsid w:val="00742D43"/>
    <w:rsid w:val="0078660D"/>
    <w:rsid w:val="00790F85"/>
    <w:rsid w:val="0079768F"/>
    <w:rsid w:val="007B69A7"/>
    <w:rsid w:val="007B75E6"/>
    <w:rsid w:val="007C14F9"/>
    <w:rsid w:val="007D4A5C"/>
    <w:rsid w:val="007D6215"/>
    <w:rsid w:val="00801108"/>
    <w:rsid w:val="00805AAE"/>
    <w:rsid w:val="008115D0"/>
    <w:rsid w:val="00816F7E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1979"/>
    <w:rsid w:val="00891FE1"/>
    <w:rsid w:val="008A7F09"/>
    <w:rsid w:val="008B3494"/>
    <w:rsid w:val="008B358D"/>
    <w:rsid w:val="008C1C6F"/>
    <w:rsid w:val="008C1E39"/>
    <w:rsid w:val="008D7AC0"/>
    <w:rsid w:val="008D7DCC"/>
    <w:rsid w:val="008F0E94"/>
    <w:rsid w:val="00911266"/>
    <w:rsid w:val="00913BF6"/>
    <w:rsid w:val="00922D6B"/>
    <w:rsid w:val="00936747"/>
    <w:rsid w:val="009421CD"/>
    <w:rsid w:val="0097296F"/>
    <w:rsid w:val="0098761C"/>
    <w:rsid w:val="009915E9"/>
    <w:rsid w:val="00992C8B"/>
    <w:rsid w:val="00993303"/>
    <w:rsid w:val="00997974"/>
    <w:rsid w:val="009B7DA8"/>
    <w:rsid w:val="009C36EB"/>
    <w:rsid w:val="009E059B"/>
    <w:rsid w:val="009E3F45"/>
    <w:rsid w:val="009F361C"/>
    <w:rsid w:val="00A24D15"/>
    <w:rsid w:val="00A33FFD"/>
    <w:rsid w:val="00A37843"/>
    <w:rsid w:val="00A37DD6"/>
    <w:rsid w:val="00A40BE3"/>
    <w:rsid w:val="00A56CA1"/>
    <w:rsid w:val="00A6090F"/>
    <w:rsid w:val="00A62BB3"/>
    <w:rsid w:val="00A869C4"/>
    <w:rsid w:val="00AB23EA"/>
    <w:rsid w:val="00AB4289"/>
    <w:rsid w:val="00AC184D"/>
    <w:rsid w:val="00AC2BB3"/>
    <w:rsid w:val="00AC5C34"/>
    <w:rsid w:val="00AC6035"/>
    <w:rsid w:val="00AE24B6"/>
    <w:rsid w:val="00AF3599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1B2F"/>
    <w:rsid w:val="00B726E1"/>
    <w:rsid w:val="00B73B2D"/>
    <w:rsid w:val="00B74897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760F"/>
    <w:rsid w:val="00BD2359"/>
    <w:rsid w:val="00BD3626"/>
    <w:rsid w:val="00BD5714"/>
    <w:rsid w:val="00BF4C97"/>
    <w:rsid w:val="00C006EC"/>
    <w:rsid w:val="00C4393C"/>
    <w:rsid w:val="00C44D99"/>
    <w:rsid w:val="00C51BC2"/>
    <w:rsid w:val="00C94720"/>
    <w:rsid w:val="00C962BF"/>
    <w:rsid w:val="00CB46FA"/>
    <w:rsid w:val="00CC3300"/>
    <w:rsid w:val="00CE7F64"/>
    <w:rsid w:val="00D034E2"/>
    <w:rsid w:val="00D043E7"/>
    <w:rsid w:val="00D42CEB"/>
    <w:rsid w:val="00D5308A"/>
    <w:rsid w:val="00D556D6"/>
    <w:rsid w:val="00D6440C"/>
    <w:rsid w:val="00D65E73"/>
    <w:rsid w:val="00D67467"/>
    <w:rsid w:val="00D85301"/>
    <w:rsid w:val="00D90A68"/>
    <w:rsid w:val="00DA25E4"/>
    <w:rsid w:val="00DC0025"/>
    <w:rsid w:val="00DD67B6"/>
    <w:rsid w:val="00DE3813"/>
    <w:rsid w:val="00DF5A00"/>
    <w:rsid w:val="00E03414"/>
    <w:rsid w:val="00E11EAD"/>
    <w:rsid w:val="00E170AB"/>
    <w:rsid w:val="00E20920"/>
    <w:rsid w:val="00E34FEC"/>
    <w:rsid w:val="00E51F51"/>
    <w:rsid w:val="00E526B4"/>
    <w:rsid w:val="00E54D25"/>
    <w:rsid w:val="00E57C27"/>
    <w:rsid w:val="00E8223C"/>
    <w:rsid w:val="00E87CB9"/>
    <w:rsid w:val="00EA5E6B"/>
    <w:rsid w:val="00EB0347"/>
    <w:rsid w:val="00EB24C1"/>
    <w:rsid w:val="00EC5FF3"/>
    <w:rsid w:val="00ED2415"/>
    <w:rsid w:val="00EF01B4"/>
    <w:rsid w:val="00EF7DE9"/>
    <w:rsid w:val="00F10A10"/>
    <w:rsid w:val="00F147DE"/>
    <w:rsid w:val="00F23C94"/>
    <w:rsid w:val="00F3697D"/>
    <w:rsid w:val="00F43B17"/>
    <w:rsid w:val="00F45FA1"/>
    <w:rsid w:val="00F573CA"/>
    <w:rsid w:val="00F725C5"/>
    <w:rsid w:val="00F83C19"/>
    <w:rsid w:val="00F92D86"/>
    <w:rsid w:val="00F95A81"/>
    <w:rsid w:val="00FA6C7B"/>
    <w:rsid w:val="00FB1181"/>
    <w:rsid w:val="00FB5084"/>
    <w:rsid w:val="00FB60A5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6B4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26B4"/>
    <w:rPr>
      <w:color w:val="0066CC"/>
      <w:u w:val="single"/>
    </w:rPr>
  </w:style>
  <w:style w:type="character" w:customStyle="1" w:styleId="Bodytext4">
    <w:name w:val="Body text (4)_"/>
    <w:link w:val="Bodytext4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E526B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E526B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E526B4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E526B4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E526B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E526B4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E526B4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78F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2B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2BB3"/>
    <w:rPr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2B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6B4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26B4"/>
    <w:rPr>
      <w:color w:val="0066CC"/>
      <w:u w:val="single"/>
    </w:rPr>
  </w:style>
  <w:style w:type="character" w:customStyle="1" w:styleId="Bodytext4">
    <w:name w:val="Body text (4)_"/>
    <w:link w:val="Bodytext4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E526B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E526B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E526B4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E526B4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E526B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E526B4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E526B4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78F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2B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2BB3"/>
    <w:rPr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2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A42D-816D-4F65-A7A4-A3ED16CE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1274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</cp:lastModifiedBy>
  <cp:revision>10</cp:revision>
  <cp:lastPrinted>2018-11-26T08:08:00Z</cp:lastPrinted>
  <dcterms:created xsi:type="dcterms:W3CDTF">2020-04-08T11:41:00Z</dcterms:created>
  <dcterms:modified xsi:type="dcterms:W3CDTF">2020-10-06T13:26:00Z</dcterms:modified>
</cp:coreProperties>
</file>