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2BF" w:rsidRDefault="007602BF" w:rsidP="007602BF">
      <w:pPr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ar-SA"/>
        </w:rPr>
        <w:t xml:space="preserve">                     </w:t>
      </w:r>
    </w:p>
    <w:p w:rsidR="007602BF" w:rsidRDefault="007602BF" w:rsidP="007602B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/>
          <w:color w:val="auto"/>
        </w:rPr>
        <w:t xml:space="preserve">   KARTA PRZEDMIOTU                                   </w:t>
      </w:r>
    </w:p>
    <w:p w:rsidR="007602BF" w:rsidRDefault="007602BF" w:rsidP="007602BF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255"/>
        <w:gridCol w:w="5941"/>
      </w:tblGrid>
      <w:tr w:rsidR="007602BF" w:rsidTr="007602BF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1012.4.KOS1.D.BwK</w:t>
            </w:r>
          </w:p>
        </w:tc>
      </w:tr>
      <w:tr w:rsidR="007602BF" w:rsidTr="007602B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Biotechnologia w kosmetologii</w:t>
            </w:r>
          </w:p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Biotechnology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cosmetology</w:t>
            </w:r>
            <w:proofErr w:type="spellEnd"/>
          </w:p>
        </w:tc>
      </w:tr>
      <w:tr w:rsidR="007602BF" w:rsidTr="007602BF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angielskim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7602BF" w:rsidRDefault="007602BF" w:rsidP="007602BF">
      <w:pPr>
        <w:rPr>
          <w:rFonts w:ascii="Times New Roman" w:hAnsi="Times New Roman" w:cs="Times New Roman"/>
          <w:b/>
          <w:color w:val="auto"/>
        </w:rPr>
      </w:pPr>
    </w:p>
    <w:p w:rsidR="007602BF" w:rsidRDefault="007602BF" w:rsidP="007602BF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4994"/>
      </w:tblGrid>
      <w:tr w:rsidR="007602BF" w:rsidTr="007602B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 xml:space="preserve">Kosmetologia </w:t>
            </w:r>
          </w:p>
        </w:tc>
      </w:tr>
      <w:tr w:rsidR="007602BF" w:rsidTr="007602B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Studia stacjonarne/niestacjonarne</w:t>
            </w:r>
          </w:p>
        </w:tc>
      </w:tr>
      <w:tr w:rsidR="007602BF" w:rsidTr="007602B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Studia pierwszego stopnia </w:t>
            </w:r>
          </w:p>
        </w:tc>
      </w:tr>
      <w:tr w:rsidR="007602BF" w:rsidTr="007602B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Praktyczny</w:t>
            </w:r>
          </w:p>
        </w:tc>
      </w:tr>
      <w:tr w:rsidR="007602BF" w:rsidTr="007602B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 xml:space="preserve">Monika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Wawszczak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-Kasza</w:t>
            </w:r>
          </w:p>
        </w:tc>
      </w:tr>
      <w:tr w:rsidR="007602BF" w:rsidTr="007602B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mwawszczak@ujk.edu.pl</w:t>
            </w:r>
          </w:p>
        </w:tc>
      </w:tr>
    </w:tbl>
    <w:p w:rsidR="007602BF" w:rsidRDefault="007602BF" w:rsidP="007602BF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7602BF" w:rsidRDefault="007602BF" w:rsidP="007602BF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9"/>
        <w:gridCol w:w="5013"/>
      </w:tblGrid>
      <w:tr w:rsidR="007602BF" w:rsidTr="007602B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en-US"/>
              </w:rPr>
              <w:t>Polski</w:t>
            </w:r>
          </w:p>
        </w:tc>
      </w:tr>
      <w:tr w:rsidR="007602BF" w:rsidTr="007602B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2.2.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Skład chemiczny a działanie kosmetyku, wiedza mikrobiologiczna, znajomość surowców kosmetycznych, receptury kosmetycznej, znajomość podstawowych pojęć z toksykologii.</w:t>
            </w:r>
          </w:p>
        </w:tc>
      </w:tr>
    </w:tbl>
    <w:p w:rsidR="007602BF" w:rsidRDefault="007602BF" w:rsidP="007602BF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7602BF" w:rsidRDefault="007602BF" w:rsidP="007602BF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7602BF" w:rsidTr="007602B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 w:rsidP="00256397">
            <w:pPr>
              <w:numPr>
                <w:ilvl w:val="1"/>
                <w:numId w:val="1"/>
              </w:numPr>
              <w:spacing w:line="25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Wykład, ćwiczenia, laboratorium</w:t>
            </w:r>
          </w:p>
        </w:tc>
      </w:tr>
      <w:tr w:rsidR="007602BF" w:rsidTr="007602B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 w:rsidP="00256397">
            <w:pPr>
              <w:numPr>
                <w:ilvl w:val="1"/>
                <w:numId w:val="1"/>
              </w:numPr>
              <w:spacing w:line="25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Pomieszczenia dydaktyczne UJK</w:t>
            </w:r>
          </w:p>
        </w:tc>
      </w:tr>
      <w:tr w:rsidR="007602BF" w:rsidTr="007602B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 w:rsidP="00256397">
            <w:pPr>
              <w:numPr>
                <w:ilvl w:val="1"/>
                <w:numId w:val="1"/>
              </w:numPr>
              <w:spacing w:line="25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Wykład: zaliczenie z oceną</w:t>
            </w:r>
          </w:p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Ćwiczenia/laboratorium: zaliczenie z oceną</w:t>
            </w:r>
          </w:p>
        </w:tc>
      </w:tr>
      <w:tr w:rsidR="007602BF" w:rsidTr="007602B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 w:rsidP="00256397">
            <w:pPr>
              <w:numPr>
                <w:ilvl w:val="1"/>
                <w:numId w:val="1"/>
              </w:numPr>
              <w:spacing w:line="25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Wykład: wykład informacyjny</w:t>
            </w:r>
          </w:p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Ćwiczenia: ćwiczenia przedmiotowe</w:t>
            </w:r>
          </w:p>
          <w:p w:rsidR="007602BF" w:rsidRDefault="007602BF">
            <w:pPr>
              <w:pStyle w:val="NormalnyWeb"/>
              <w:spacing w:before="0" w:beforeAutospacing="0" w:after="0" w:afterAutospacing="0"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Laboratorium: ćwiczenia laboratoryjne</w:t>
            </w:r>
          </w:p>
        </w:tc>
      </w:tr>
      <w:tr w:rsidR="007602BF" w:rsidTr="007602BF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 w:rsidP="00256397">
            <w:pPr>
              <w:numPr>
                <w:ilvl w:val="1"/>
                <w:numId w:val="1"/>
              </w:numPr>
              <w:spacing w:line="25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1.Ratledge C.,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Krystiansen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B.: Podstawy biotechnologii, Wydawnictwo Naukowe PWN, Warszawa 2011.</w:t>
            </w:r>
          </w:p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2.Szewczyk K. W.: Technologia biochemiczna, OWPW 2003.</w:t>
            </w:r>
          </w:p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3.Chmiel A.: Biotechnologia – podstawy mikrobiologiczne i chemiczne, Wydawnictwo Naukowe PWN 1999.</w:t>
            </w:r>
          </w:p>
        </w:tc>
      </w:tr>
      <w:tr w:rsidR="007602BF" w:rsidTr="007602BF">
        <w:trPr>
          <w:trHeight w:val="284"/>
        </w:trPr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uzupełniająca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1.Buchowicz J.: Biotechnologia molekularna: modyfikacje genetyczne, postępy, problemy, Wydawnictwo Naukowe PWN 2012.</w:t>
            </w:r>
          </w:p>
        </w:tc>
      </w:tr>
    </w:tbl>
    <w:p w:rsidR="007602BF" w:rsidRDefault="007602BF" w:rsidP="007602BF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7602BF" w:rsidRDefault="007602BF" w:rsidP="007602BF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7602BF" w:rsidTr="007602BF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02BF" w:rsidRDefault="007602BF" w:rsidP="00256397">
            <w:pPr>
              <w:numPr>
                <w:ilvl w:val="1"/>
                <w:numId w:val="1"/>
              </w:numPr>
              <w:spacing w:line="25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  <w:lang w:eastAsia="en-US"/>
              </w:rPr>
              <w:t>(z uwzględnieniem formy zajęć)</w:t>
            </w:r>
          </w:p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Wykład</w:t>
            </w:r>
          </w:p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Przekazanie wiedzy w zakresie biotechnologii klasycznej oraz nowoczesnej, ze szczególnym uwzględnieniem otrzymywania i zastosowania produktów biotechnologicznych w kosmetologii</w:t>
            </w:r>
          </w:p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Ćwiczenia</w:t>
            </w:r>
          </w:p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Kształtowanie postawy gotowości do aktualizowania wiedzy w zakresie biotechnologii oraz rozumienia potrzeby stosowania metod biotechnologicznych w kosmetologii</w:t>
            </w:r>
          </w:p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Laboratorium</w:t>
            </w:r>
          </w:p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Kształtowanie umiejętności planowania i zastosowania metod prowadzenia procesów biotechnologicznych</w:t>
            </w:r>
          </w:p>
        </w:tc>
      </w:tr>
      <w:tr w:rsidR="007602BF" w:rsidTr="007602BF">
        <w:trPr>
          <w:trHeight w:val="55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 w:rsidP="00256397">
            <w:pPr>
              <w:numPr>
                <w:ilvl w:val="1"/>
                <w:numId w:val="1"/>
              </w:numPr>
              <w:spacing w:line="25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  <w:lang w:eastAsia="en-US"/>
              </w:rPr>
              <w:t>(z uwzględnieniem formy zajęć)</w:t>
            </w:r>
          </w:p>
          <w:p w:rsidR="007602BF" w:rsidRDefault="007602BF">
            <w:pPr>
              <w:spacing w:line="256" w:lineRule="auto"/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Wykład </w:t>
            </w:r>
          </w:p>
          <w:p w:rsidR="007602BF" w:rsidRDefault="007602BF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Wprowadzenie do biotechnologii. Definicje i podział biotechnologii, zakres zainteresowania klasycznej i współczesnej biotechnologii. Etapy opracowywania procesów biotechnologicznych. Rodzaje bioreaktorów. Udział organizmów żywych w syntezie składników produktów kosmetycznych. Nowe metody biotechnologiczne otrzymywania substancji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biologicznie czynnych stosowanych w kosmetykach. </w:t>
            </w:r>
            <w:r>
              <w:rPr>
                <w:rStyle w:val="Hipercze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eastAsia="en-US"/>
              </w:rPr>
              <w:t>W</w:t>
            </w:r>
            <w:r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prowadzenie do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nanobiotechnologii</w:t>
            </w:r>
            <w:proofErr w:type="spellEnd"/>
            <w:r>
              <w:rPr>
                <w:rStyle w:val="markedcontent"/>
                <w:rFonts w:ascii="Arial" w:hAnsi="Arial" w:cs="Arial"/>
                <w:lang w:eastAsia="en-US"/>
              </w:rPr>
              <w:t xml:space="preserve">. </w:t>
            </w:r>
            <w:r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Aspekty prawne dotyczące wprowadzania na rynek preparatów kosmetycznych pochodzenia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biotechnologicznego.</w:t>
            </w:r>
          </w:p>
          <w:p w:rsidR="007602BF" w:rsidRDefault="007602BF">
            <w:pPr>
              <w:tabs>
                <w:tab w:val="left" w:pos="2655"/>
              </w:tabs>
              <w:spacing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:rsidR="007602BF" w:rsidRDefault="007602BF">
            <w:pPr>
              <w:tabs>
                <w:tab w:val="left" w:pos="2655"/>
              </w:tabs>
              <w:spacing w:line="25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Mikroorganizmy posiadające cechy istotne biotechnologicznie. Podstawowe procesy biotechnologiczne, wykorzystanie mikroorganizmów (fermentacja, synteza witamin-witamina A, C, witaminy z grupy B). 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en-US"/>
              </w:rPr>
              <w:t>Przykłady surowców kosmetycznych wytwarzanych biotechnologicznie. Technologie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prowadzące do otrzymywania wybranych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en-US"/>
              </w:rPr>
              <w:t>bioproduktów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en-US"/>
              </w:rPr>
              <w:t>: kwasów organicznych,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polisacharydów, aminokwasów, związków peptydowych, enzymów.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Medycyna regeneracyjna i kosmetologia estetyczna oparta o komórki macierzyste.</w:t>
            </w:r>
            <w:r>
              <w:rPr>
                <w:rStyle w:val="Hipercze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eastAsia="en-US"/>
              </w:rPr>
              <w:t xml:space="preserve"> </w:t>
            </w:r>
          </w:p>
          <w:p w:rsidR="007602BF" w:rsidRDefault="007602BF">
            <w:pPr>
              <w:spacing w:line="256" w:lineRule="auto"/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Laboratorium</w:t>
            </w:r>
          </w:p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Zakładanie hodowli roślinnych in vitro, metody sterylizacji nasion roślin. Produkty procesu biotechnologicznego –          celuloza bakteryjna, kwas octowy. Izolacja materiału genetycznego, analiza mutacji genetycznych metodą PCR. Pozyskiwanie mikroorganizmów przydatnych biotechnologicznie, modyfikacje genetyczne bakterii.</w:t>
            </w:r>
          </w:p>
        </w:tc>
      </w:tr>
    </w:tbl>
    <w:p w:rsidR="007602BF" w:rsidRDefault="007602BF" w:rsidP="007602BF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7602BF" w:rsidRDefault="007602BF" w:rsidP="007602BF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7357"/>
        <w:gridCol w:w="1629"/>
      </w:tblGrid>
      <w:tr w:rsidR="007602BF" w:rsidTr="007602BF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2BF" w:rsidRDefault="007602BF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Odniesienie do kierunkowych efektów uczenia się</w:t>
            </w:r>
          </w:p>
        </w:tc>
      </w:tr>
      <w:tr w:rsidR="007602BF" w:rsidTr="007602B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WIEDZY:</w:t>
            </w:r>
          </w:p>
        </w:tc>
      </w:tr>
      <w:tr w:rsidR="007602BF" w:rsidTr="007602B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Zna właściwości chemiczne związków oraz metody biotechnologiczne wykorzystywane podczas produkcji substancji biologicznie czynnych.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KOS1P_W03</w:t>
            </w:r>
          </w:p>
        </w:tc>
      </w:tr>
      <w:tr w:rsidR="007602BF" w:rsidTr="007602B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Zna zasady higieny i bezpieczeństwa pracy, jakich należy przestrzegać podczas produkcji substancji kosmetycznych.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KOS1P_W10</w:t>
            </w:r>
          </w:p>
        </w:tc>
      </w:tr>
      <w:tr w:rsidR="007602BF" w:rsidTr="007602B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UMIEJĘTNOŚCI:</w:t>
            </w:r>
          </w:p>
        </w:tc>
      </w:tr>
      <w:tr w:rsidR="007602BF" w:rsidTr="007602B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Posiada umiejętności z zakresu zakładania i oceny hodowli roślinnych in vitro, wykorzystywania mikroorganizmów w procesach biotechnologicznych oraz produkcji witamin.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KOS1P_U16</w:t>
            </w:r>
          </w:p>
        </w:tc>
      </w:tr>
      <w:tr w:rsidR="007602BF" w:rsidTr="007602B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Potrafi formułować problemy badawcze, dobierać metody i narzędzia oraz analizować procesy biotechnologiczne.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KOS1P_U16</w:t>
            </w:r>
          </w:p>
        </w:tc>
      </w:tr>
      <w:tr w:rsidR="007602BF" w:rsidTr="007602B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KOMPETENCJI SPOŁECZNYCH:</w:t>
            </w:r>
          </w:p>
        </w:tc>
      </w:tr>
      <w:tr w:rsidR="007602BF" w:rsidTr="007602B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Prawidłowo rozstrzyga dylematy związane z produkcją substancji kosmetycznych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KOS1P_K07</w:t>
            </w:r>
          </w:p>
        </w:tc>
      </w:tr>
    </w:tbl>
    <w:p w:rsidR="007602BF" w:rsidRDefault="007602BF" w:rsidP="007602BF">
      <w:pPr>
        <w:rPr>
          <w:color w:val="auto"/>
        </w:rPr>
      </w:pPr>
    </w:p>
    <w:p w:rsidR="007602BF" w:rsidRDefault="007602BF" w:rsidP="007602BF">
      <w:pPr>
        <w:rPr>
          <w:rFonts w:hint="eastAsia"/>
          <w:color w:val="auto"/>
        </w:rPr>
      </w:pPr>
    </w:p>
    <w:tbl>
      <w:tblPr>
        <w:tblW w:w="6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28"/>
        <w:gridCol w:w="378"/>
        <w:gridCol w:w="378"/>
        <w:gridCol w:w="378"/>
        <w:gridCol w:w="379"/>
        <w:gridCol w:w="379"/>
        <w:gridCol w:w="502"/>
        <w:gridCol w:w="425"/>
        <w:gridCol w:w="426"/>
        <w:gridCol w:w="425"/>
        <w:gridCol w:w="567"/>
        <w:gridCol w:w="425"/>
        <w:gridCol w:w="425"/>
      </w:tblGrid>
      <w:tr w:rsidR="007602BF" w:rsidTr="007602BF">
        <w:trPr>
          <w:trHeight w:val="284"/>
        </w:trPr>
        <w:tc>
          <w:tcPr>
            <w:tcW w:w="69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2BF" w:rsidRDefault="007602BF">
            <w:pPr>
              <w:tabs>
                <w:tab w:val="left" w:pos="426"/>
              </w:tabs>
              <w:suppressAutoHyphens/>
              <w:spacing w:line="256" w:lineRule="auto"/>
              <w:ind w:left="426"/>
              <w:rPr>
                <w:rFonts w:ascii="Times New Roman" w:hAnsi="Times New Roman" w:cs="Times New Roman" w:hint="eastAsia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4.4 Sposoby weryfikacji osiągnięcia przedmiotowych efektów uczenia się </w:t>
            </w:r>
          </w:p>
        </w:tc>
      </w:tr>
      <w:tr w:rsidR="007602BF" w:rsidTr="007602B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Efekty przedmiotowe</w:t>
            </w:r>
          </w:p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(symbol)</w:t>
            </w:r>
          </w:p>
        </w:tc>
        <w:tc>
          <w:tcPr>
            <w:tcW w:w="508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Sposób weryfikacji (+/-)</w:t>
            </w:r>
          </w:p>
        </w:tc>
      </w:tr>
      <w:tr w:rsidR="007602BF" w:rsidTr="007602BF">
        <w:trPr>
          <w:trHeight w:val="284"/>
        </w:trPr>
        <w:tc>
          <w:tcPr>
            <w:tcW w:w="69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Kolokwium</w:t>
            </w:r>
          </w:p>
        </w:tc>
        <w:tc>
          <w:tcPr>
            <w:tcW w:w="1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Aktywność               </w:t>
            </w:r>
            <w:r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en-US"/>
              </w:rPr>
              <w:t>na zajęciach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Praca własna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Praca                  w grupie</w:t>
            </w:r>
          </w:p>
        </w:tc>
      </w:tr>
      <w:tr w:rsidR="007602BF" w:rsidTr="007602BF">
        <w:trPr>
          <w:trHeight w:val="284"/>
        </w:trPr>
        <w:tc>
          <w:tcPr>
            <w:tcW w:w="69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Forma zajęć</w:t>
            </w:r>
          </w:p>
        </w:tc>
        <w:tc>
          <w:tcPr>
            <w:tcW w:w="126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Forma zajęć</w:t>
            </w:r>
          </w:p>
        </w:tc>
        <w:tc>
          <w:tcPr>
            <w:tcW w:w="1417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Forma zajęć</w:t>
            </w:r>
          </w:p>
        </w:tc>
      </w:tr>
      <w:tr w:rsidR="007602BF" w:rsidTr="007602BF">
        <w:trPr>
          <w:trHeight w:val="284"/>
        </w:trPr>
        <w:tc>
          <w:tcPr>
            <w:tcW w:w="69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02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W</w:t>
            </w:r>
          </w:p>
        </w:tc>
        <w:tc>
          <w:tcPr>
            <w:tcW w:w="426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567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W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L</w:t>
            </w:r>
          </w:p>
        </w:tc>
      </w:tr>
      <w:tr w:rsidR="007602BF" w:rsidTr="007602BF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02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426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7602BF" w:rsidTr="007602BF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7602BF" w:rsidTr="007602BF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7602BF" w:rsidTr="007602BF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7602BF" w:rsidTr="007602BF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</w:tbl>
    <w:p w:rsidR="007602BF" w:rsidRDefault="007602BF" w:rsidP="007602BF">
      <w:pPr>
        <w:pStyle w:val="Bodytext36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</w:p>
    <w:p w:rsidR="007602BF" w:rsidRDefault="007602BF" w:rsidP="007602BF">
      <w:pPr>
        <w:rPr>
          <w:rFonts w:ascii="Times New Roman" w:hAnsi="Times New Roman" w:cs="Times New Roman"/>
          <w:color w:val="auto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449"/>
        <w:gridCol w:w="8268"/>
      </w:tblGrid>
      <w:tr w:rsidR="007602BF" w:rsidTr="007602B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 w:rsidP="00256397">
            <w:pPr>
              <w:numPr>
                <w:ilvl w:val="1"/>
                <w:numId w:val="2"/>
              </w:numPr>
              <w:spacing w:line="25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Kryteria oceny stopnia osiągnięcia efektów uczenia się</w:t>
            </w:r>
          </w:p>
        </w:tc>
      </w:tr>
      <w:tr w:rsidR="007602BF" w:rsidTr="007602BF">
        <w:trPr>
          <w:trHeight w:val="284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Forma zajęć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Kryterium oceny</w:t>
            </w:r>
          </w:p>
        </w:tc>
      </w:tr>
      <w:tr w:rsidR="007602BF" w:rsidTr="007602BF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02BF" w:rsidRDefault="007602BF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en-US"/>
              </w:rPr>
              <w:t>wykład (W)</w:t>
            </w:r>
          </w:p>
          <w:p w:rsidR="007602BF" w:rsidRDefault="007602BF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testu i pracy własnej. Obecność na zajęciach zgodna z regulaminem studiów.</w:t>
            </w:r>
          </w:p>
        </w:tc>
      </w:tr>
      <w:tr w:rsidR="007602BF" w:rsidTr="007602BF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69-76% pkt. uzyskanych z testu i pracy własnej.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7602BF" w:rsidTr="007602BF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77- 84% pkt. uzyskanych z testu i pracy własnej.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7602BF" w:rsidTr="007602BF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85- 92% pkt. uzyskanych z testu i pracy własnej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Obecność na zajęciach zgodna z regulaminem studiów.</w:t>
            </w:r>
          </w:p>
        </w:tc>
      </w:tr>
      <w:tr w:rsidR="007602BF" w:rsidTr="007602BF">
        <w:trPr>
          <w:trHeight w:val="592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93-100% pkt. uzyskanych z testu i pracy własnej.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7602BF" w:rsidTr="007602BF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02BF" w:rsidRDefault="007602BF">
            <w:pPr>
              <w:spacing w:line="256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  <w:lang w:eastAsia="en-US"/>
              </w:rPr>
              <w:t>Ćwiczenia/laboratorium (C/L)</w:t>
            </w:r>
          </w:p>
          <w:p w:rsidR="007602BF" w:rsidRDefault="007602BF">
            <w:pPr>
              <w:spacing w:line="256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ind w:left="113" w:right="113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kolokwium. Student potrafi rozwiązać zadania, ale niedostatecznie je wyjaśnia i analizuje. Posługuje się narzędziami, ale słabo argumentuje uzyskane wyniki,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stosuje. Obecność na zajęciach zgodna z regulaminem studiów.</w:t>
            </w:r>
          </w:p>
        </w:tc>
      </w:tr>
      <w:tr w:rsidR="007602BF" w:rsidTr="007602BF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69-76% pkt. uzyskanych z testu. Student potrafi rozwiązać zadania, ale niedostatecznie je wyjaśnia i analizuje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Posługuje się narzędziami, ale słabo argumentuje uzyskane wyniki,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stosuje. Obecność na zajęciach zgodna z regulaminem studiów.</w:t>
            </w:r>
          </w:p>
        </w:tc>
      </w:tr>
      <w:tr w:rsidR="007602BF" w:rsidTr="007602BF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77- 84% pkt. uzyskanych z testu. Student rozwiązuje i analizuje zadania, właściwie ocenia metody Stosuje narzędzia, potrafi analizować zjawiska, dokonuje prawidłowej interpretacji wyników, Jest świadomy zagrożeń środowiskowych i częściowo uwzględnia je w swoich działaniach, docenia pracę w zespole.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7602BF" w:rsidTr="007602BF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- 92% pkt. uzyskanych z testu. Student rozwiązuje i analizuje zadania, właściwie ocenia metody  Stosuje narzędzia, potrafi analizować zjawiska, dokonuje prawidłowej interpretacji wyników, Jest świadomy zagrożeń środowiskowych i częściowo uwzględnia je w swoich działaniach, docenia pracę w zespole.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7602BF" w:rsidTr="007602BF">
        <w:trPr>
          <w:trHeight w:val="50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93-100% pkt. uzyskanych z testu. Student w pełni rozwiązuje zadania problemowe, wykazuje twórcze zaangażowanie, odnosząc się do zastosowań w praktyce biotechnologicznej, Stosuje w pełni narzędzia, porównuje je oraz dobiera do rozwiązania konkretnego problemu, bardzo dobrze interpretuje wyniki, dokonuje bezbłędnych wyliczeń uzyskanych wyników, ocenia metody pod kątem ich przydatności w badaniach praktycznych, przypisuje znaczącą wagę do zagrożeń środowiskowych, uwzględnia je w swoich działaniach, wykazuje twórcze zaangażowanie w pracy zespołowej i indywidualne.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</w:tbl>
    <w:p w:rsidR="007602BF" w:rsidRDefault="007602BF" w:rsidP="007602BF">
      <w:pPr>
        <w:rPr>
          <w:rFonts w:ascii="Times New Roman" w:hAnsi="Times New Roman" w:cs="Times New Roman"/>
          <w:color w:val="auto"/>
        </w:rPr>
      </w:pPr>
    </w:p>
    <w:p w:rsidR="007602BF" w:rsidRDefault="007602BF" w:rsidP="007602B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8"/>
        <w:gridCol w:w="1476"/>
        <w:gridCol w:w="1476"/>
      </w:tblGrid>
      <w:tr w:rsidR="007602BF" w:rsidTr="007602BF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bookmarkStart w:id="1" w:name="_Hlk128761321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Obciążenie studenta</w:t>
            </w:r>
          </w:p>
        </w:tc>
      </w:tr>
      <w:tr w:rsidR="007602BF" w:rsidTr="007602BF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Studia</w:t>
            </w:r>
          </w:p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Studia</w:t>
            </w:r>
          </w:p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niestacjonarne</w:t>
            </w:r>
          </w:p>
        </w:tc>
      </w:tr>
      <w:tr w:rsidR="007602BF" w:rsidTr="007602B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45</w:t>
            </w:r>
          </w:p>
        </w:tc>
      </w:tr>
      <w:tr w:rsidR="007602BF" w:rsidTr="007602B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15</w:t>
            </w:r>
          </w:p>
        </w:tc>
      </w:tr>
      <w:tr w:rsidR="007602BF" w:rsidTr="007602B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  <w:t xml:space="preserve">Udział w ćwiczeniach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</w:p>
        </w:tc>
      </w:tr>
      <w:tr w:rsidR="007602BF" w:rsidTr="007602B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10</w:t>
            </w:r>
          </w:p>
        </w:tc>
      </w:tr>
      <w:tr w:rsidR="007602BF" w:rsidTr="007602B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eastAsia="en-US"/>
              </w:rPr>
              <w:t>105</w:t>
            </w:r>
          </w:p>
        </w:tc>
      </w:tr>
      <w:tr w:rsidR="007602BF" w:rsidTr="007602B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50</w:t>
            </w:r>
          </w:p>
        </w:tc>
      </w:tr>
      <w:tr w:rsidR="007602BF" w:rsidTr="007602B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  <w:t>Przygotowanie do ćwiczeń,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45</w:t>
            </w:r>
          </w:p>
        </w:tc>
      </w:tr>
      <w:tr w:rsidR="007602BF" w:rsidTr="007602B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en-US"/>
              </w:rPr>
              <w:t>Przygotowanie projektu i opracowanie prezentacji multimedialnej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10</w:t>
            </w:r>
          </w:p>
        </w:tc>
      </w:tr>
      <w:tr w:rsidR="007602BF" w:rsidTr="007602B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eastAsia="en-US"/>
              </w:rPr>
              <w:t>150</w:t>
            </w:r>
          </w:p>
        </w:tc>
      </w:tr>
      <w:tr w:rsidR="007602BF" w:rsidTr="007602B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7602BF" w:rsidRDefault="007602BF">
            <w:pPr>
              <w:spacing w:line="256" w:lineRule="auto"/>
              <w:rPr>
                <w:rFonts w:ascii="Times New Roman" w:hAnsi="Times New Roman" w:cs="Times New Roman"/>
                <w:b/>
                <w:color w:val="auto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  <w:lang w:eastAsia="en-US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7602BF" w:rsidRDefault="007602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  <w:lang w:eastAsia="en-US"/>
              </w:rPr>
              <w:t>6</w:t>
            </w:r>
          </w:p>
        </w:tc>
      </w:tr>
      <w:bookmarkEnd w:id="1"/>
    </w:tbl>
    <w:p w:rsidR="007602BF" w:rsidRDefault="007602BF" w:rsidP="007602BF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7602BF" w:rsidRDefault="007602BF" w:rsidP="007602BF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 xml:space="preserve">    (data i czytelne  podpisy osób prowadzących przedmiot w danym roku akademickim)</w:t>
      </w:r>
    </w:p>
    <w:p w:rsidR="007602BF" w:rsidRDefault="007602BF" w:rsidP="007602BF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7602BF" w:rsidRDefault="007602BF" w:rsidP="007602BF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7602BF" w:rsidRDefault="007602BF" w:rsidP="007602BF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p w:rsidR="007602BF" w:rsidRDefault="007602BF" w:rsidP="007602BF"/>
    <w:p w:rsidR="006879EA" w:rsidRDefault="006879EA"/>
    <w:sectPr w:rsidR="00687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BF"/>
    <w:rsid w:val="006879EA"/>
    <w:rsid w:val="0076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534A"/>
  <w15:chartTrackingRefBased/>
  <w15:docId w15:val="{3FDD30BD-BE63-488D-9E5D-60A38393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02B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602BF"/>
    <w:rPr>
      <w:color w:val="0066CC"/>
      <w:u w:val="single"/>
    </w:rPr>
  </w:style>
  <w:style w:type="paragraph" w:styleId="NormalnyWeb">
    <w:name w:val="Normal (Web)"/>
    <w:basedOn w:val="Normalny"/>
    <w:uiPriority w:val="99"/>
    <w:semiHidden/>
    <w:unhideWhenUsed/>
    <w:rsid w:val="007602B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7602BF"/>
    <w:pPr>
      <w:ind w:left="720"/>
      <w:contextualSpacing/>
    </w:pPr>
  </w:style>
  <w:style w:type="character" w:customStyle="1" w:styleId="Bodytext3">
    <w:name w:val="Body text (3)_"/>
    <w:link w:val="Bodytext36"/>
    <w:locked/>
    <w:rsid w:val="007602B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6">
    <w:name w:val="Body text (3)6"/>
    <w:basedOn w:val="Normalny"/>
    <w:link w:val="Bodytext3"/>
    <w:rsid w:val="007602BF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markedcontent">
    <w:name w:val="markedcontent"/>
    <w:basedOn w:val="Domylnaczcionkaakapitu"/>
    <w:rsid w:val="0076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1206</Words>
  <Characters>7240</Characters>
  <Application>Microsoft Office Word</Application>
  <DocSecurity>0</DocSecurity>
  <Lines>60</Lines>
  <Paragraphs>16</Paragraphs>
  <ScaleCrop>false</ScaleCrop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Łącka</dc:creator>
  <cp:keywords/>
  <dc:description/>
  <cp:lastModifiedBy>Aneta Łącka</cp:lastModifiedBy>
  <cp:revision>1</cp:revision>
  <dcterms:created xsi:type="dcterms:W3CDTF">2025-02-14T14:14:00Z</dcterms:created>
  <dcterms:modified xsi:type="dcterms:W3CDTF">2025-02-14T14:15:00Z</dcterms:modified>
</cp:coreProperties>
</file>